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7DB" w:rsidRDefault="003347DB" w:rsidP="003347DB">
      <w:pPr>
        <w:jc w:val="center"/>
        <w:rPr>
          <w:rFonts w:ascii="华文中宋" w:eastAsia="华文中宋" w:hAnsi="华文中宋" w:cs="华文中宋"/>
          <w:sz w:val="28"/>
          <w:szCs w:val="36"/>
        </w:rPr>
      </w:pPr>
      <w:r>
        <w:rPr>
          <w:rFonts w:ascii="华文中宋" w:eastAsia="华文中宋" w:hAnsi="华文中宋" w:cs="华文中宋" w:hint="eastAsia"/>
          <w:sz w:val="28"/>
          <w:szCs w:val="36"/>
        </w:rPr>
        <w:t>2019年度科研项目立项清单</w:t>
      </w:r>
    </w:p>
    <w:tbl>
      <w:tblPr>
        <w:tblW w:w="9705" w:type="dxa"/>
        <w:tblInd w:w="-684" w:type="dxa"/>
        <w:tblLayout w:type="fixed"/>
        <w:tblCellMar>
          <w:left w:w="0" w:type="dxa"/>
          <w:right w:w="0" w:type="dxa"/>
        </w:tblCellMar>
        <w:tblLook w:val="04A0" w:firstRow="1" w:lastRow="0" w:firstColumn="1" w:lastColumn="0" w:noHBand="0" w:noVBand="1"/>
      </w:tblPr>
      <w:tblGrid>
        <w:gridCol w:w="675"/>
        <w:gridCol w:w="1245"/>
        <w:gridCol w:w="1275"/>
        <w:gridCol w:w="4320"/>
        <w:gridCol w:w="2190"/>
      </w:tblGrid>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rPr>
              <w:t>序号</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rPr>
              <w:t>项目负责人</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rPr>
              <w:t>二级学院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rPr>
              <w:t>项目名称</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rPr>
              <w:t>项目类别</w:t>
            </w:r>
          </w:p>
        </w:tc>
      </w:tr>
      <w:tr w:rsidR="003347DB" w:rsidTr="003D689E">
        <w:trPr>
          <w:trHeight w:val="757"/>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1</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苏敬蕊</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数理学院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可压缩微极流体模型的数学问题研究</w:t>
            </w:r>
          </w:p>
        </w:tc>
        <w:tc>
          <w:tcPr>
            <w:tcW w:w="219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国家自然科学基金</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青年科学基金项目</w:t>
            </w:r>
          </w:p>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赵燕</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数理学院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图网络斯坦纳彩虹连通度的算法及随机性研究</w:t>
            </w:r>
          </w:p>
        </w:tc>
        <w:tc>
          <w:tcPr>
            <w:tcW w:w="219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p>
        </w:tc>
      </w:tr>
      <w:tr w:rsidR="003347DB" w:rsidTr="003D689E">
        <w:trPr>
          <w:trHeight w:val="886"/>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王立夫</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美术学院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中国史前陶器纹饰的母题和谱系研究</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国家社科基金</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艺术学项目</w:t>
            </w:r>
          </w:p>
        </w:tc>
      </w:tr>
      <w:tr w:rsidR="003347DB" w:rsidTr="003D689E">
        <w:trPr>
          <w:trHeight w:val="939"/>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4</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周建超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马克思主义学院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习近平总书记关于培养时代新人重要论述研究</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国家社科基金高校</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思政课研究专项</w:t>
            </w:r>
          </w:p>
        </w:tc>
      </w:tr>
      <w:tr w:rsidR="003347DB" w:rsidTr="003D689E">
        <w:trPr>
          <w:trHeight w:val="849"/>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5</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胡吉星</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人文学院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古代诗学“正变”范畴及当代意义研究</w:t>
            </w: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教育部人文社会科学</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研究一般项目</w:t>
            </w: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6</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朱禹</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医药与化学化工学院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基于UIO-66选择性催化膜体系的构建及其靶向光催化降解水环境中多溴联苯醚的研究</w:t>
            </w: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江苏省自然科学基金</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青年项目</w:t>
            </w: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7</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仲崇高</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计算机科学与技术学院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江苏经济空间格局演变与优化研究</w:t>
            </w:r>
          </w:p>
        </w:tc>
        <w:tc>
          <w:tcPr>
            <w:tcW w:w="2190"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江苏省社科基金</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一般项目</w:t>
            </w: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8</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刘佩德</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人文学院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《列子》纂释</w:t>
            </w:r>
          </w:p>
        </w:tc>
        <w:tc>
          <w:tcPr>
            <w:tcW w:w="2190"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9</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宋振宇</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计算机科学与技术学院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基于树突状神经网络模型面向高维数据分类问题的研究</w:t>
            </w:r>
          </w:p>
        </w:tc>
        <w:tc>
          <w:tcPr>
            <w:tcW w:w="2190"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江苏省高校自然科学</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研究面上项目</w:t>
            </w:r>
          </w:p>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10</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王石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计算机科学与技术学院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面向多目标多属性高维数据的群体智能混合优化技术研究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11</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夏华凤</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船舶与机电工程学院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复杂工业过程辨识方法研究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12</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李生</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计算机科学与技术学院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面向多值逻辑神经网络合成问题的差分进化算法研究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13</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于航</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计算机科学与技术学院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面向复杂动态优化的群体智能算法研究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14</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王燕</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医药与化学化工学院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HIV-1激活子网中辅助蛋白和抗病毒因子的互作研究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15</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董好岩</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医药与化学化工学院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泰州城市建设对鸟类群落构成</w:t>
            </w:r>
          </w:p>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的作用机制研究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16</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胡志强</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医药与化学化工学院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稻田转变为小龙虾养殖湿地引起温室气体排放变化的研究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17</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李彦林</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船舶与机电工程学院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馈能型力矩伺服系统的驱动与控制研究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18</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李杨</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船舶与机电工程学院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下肢助力外骨骼异构型结构设计</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lastRenderedPageBreak/>
              <w:t>19</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郑舒心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经济与管理学院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基于大数据的江苏省旅游公共服务体系模型优化研究</w:t>
            </w:r>
          </w:p>
        </w:tc>
        <w:tc>
          <w:tcPr>
            <w:tcW w:w="219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20</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韩元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人文学院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《宋诗钞》研究</w:t>
            </w:r>
          </w:p>
        </w:tc>
        <w:tc>
          <w:tcPr>
            <w:tcW w:w="219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江苏省高校哲学社会</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科学研究基金项目</w:t>
            </w:r>
          </w:p>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21</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封兰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人文学院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朱光潜实践美学思想发展研究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22</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徐爱华</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外国语学院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“一带一路”背景下应用型高校商务英语专业跨境电商人才培养模式研究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23</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孙胜元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经济与管理学院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泰州市科技体制改革研究一—基于促进科技成果转化的视角</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24</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高登云</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经济与管理学院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基于财务共享平台的医药企业业财融合机制研究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25</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蒋新秀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教育科学学院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中小学教师领导力“虚无化”成因分析及其策略探究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26</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姚尉</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音乐学院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“互联网</w:t>
            </w:r>
            <w:r>
              <w:rPr>
                <w:rStyle w:val="font11"/>
                <w:rFonts w:ascii="宋体" w:eastAsia="宋体" w:hAnsi="宋体" w:cs="宋体" w:hint="eastAsia"/>
              </w:rPr>
              <w:t>+</w:t>
            </w:r>
            <w:r>
              <w:rPr>
                <w:rStyle w:val="font31"/>
                <w:rFonts w:hint="default"/>
              </w:rPr>
              <w:t>”背景下高校科研经费利用效率提升研究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27</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李执芬</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教育科学学院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核心素养视角下在苏就读少数民族大学生国家认同研究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28</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马永明</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教育科学学院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新时代师范生理想信念的培养路径研究一—基于“课程思政”的方法</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29</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殷玲玲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美术学院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传统手工艺在非遗传承中的美学取向研究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30</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余陈琦</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美术学院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全球视野下造型艺术教育发展与前瞻研究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31</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高菲菲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音乐学院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泰州盐运河畔道教音乐的传承与创新研究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32</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翟震</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音乐学院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音乐治疗师在老龄化社会中的发展前景研究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33</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曹英</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体育系</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“一带一路”背景下我国冰雪运动发展研究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34</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汪春芳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图书馆</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高校图书馆服务“金课”建设机制研究</w:t>
            </w:r>
          </w:p>
        </w:tc>
        <w:tc>
          <w:tcPr>
            <w:tcW w:w="219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35</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石莉莉</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外国语学院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高校外语专业学生思想政治教育中增强文化自信的研究</w:t>
            </w:r>
          </w:p>
        </w:tc>
        <w:tc>
          <w:tcPr>
            <w:tcW w:w="219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江苏省高校哲学社会</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科学研究/思政专项</w:t>
            </w:r>
          </w:p>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36</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蔡暄</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马克思主义学院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新时代高校意识形态教育体系构建与创新研究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37</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栾茂峰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马克思主义学院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新时代公民道德素养的培育途径研究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38</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周颖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宣传部</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“不忘初心、牢记使命”主题教育方法论研究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39</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孔庆为</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马克思主义学院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kern w:val="0"/>
                <w:szCs w:val="21"/>
              </w:rPr>
            </w:pPr>
            <w:r>
              <w:rPr>
                <w:rFonts w:ascii="宋体" w:eastAsia="宋体" w:hAnsi="宋体" w:cs="宋体" w:hint="eastAsia"/>
                <w:color w:val="000000"/>
                <w:kern w:val="0"/>
                <w:szCs w:val="21"/>
              </w:rPr>
              <w:t>新时代地方优秀文化融入思政教学创新研究</w:t>
            </w:r>
          </w:p>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——以泰州为例</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40</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乔默之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马克思主义学院</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中华优秀传统文化融入新时代大学生核心价值观教育路径研究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41</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top"/>
              <w:rPr>
                <w:rFonts w:ascii="宋体" w:eastAsia="宋体" w:hAnsi="宋体" w:cs="宋体"/>
                <w:color w:val="000000"/>
                <w:szCs w:val="21"/>
              </w:rPr>
            </w:pPr>
            <w:r>
              <w:rPr>
                <w:rFonts w:ascii="宋体" w:eastAsia="宋体" w:hAnsi="宋体" w:cs="宋体" w:hint="eastAsia"/>
                <w:color w:val="000000"/>
                <w:kern w:val="0"/>
                <w:szCs w:val="21"/>
              </w:rPr>
              <w:t>丁越勉</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学工处</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left"/>
              <w:textAlignment w:val="top"/>
              <w:rPr>
                <w:rFonts w:ascii="宋体" w:eastAsia="宋体" w:hAnsi="宋体" w:cs="宋体"/>
                <w:color w:val="000000"/>
                <w:szCs w:val="21"/>
              </w:rPr>
            </w:pPr>
            <w:r>
              <w:rPr>
                <w:rFonts w:ascii="宋体" w:eastAsia="宋体" w:hAnsi="宋体" w:cs="宋体" w:hint="eastAsia"/>
                <w:color w:val="000000"/>
                <w:kern w:val="0"/>
                <w:szCs w:val="21"/>
              </w:rPr>
              <w:t>大学生阳光幸福教育研究一一基于德心双育视角</w:t>
            </w:r>
          </w:p>
        </w:tc>
        <w:tc>
          <w:tcPr>
            <w:tcW w:w="219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lastRenderedPageBreak/>
              <w:t>42</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朱年青</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医药与化学化工学院</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餐厨废弃物无害化处理及资源化利用关键技术研究</w:t>
            </w:r>
          </w:p>
        </w:tc>
        <w:tc>
          <w:tcPr>
            <w:tcW w:w="2190" w:type="dxa"/>
            <w:vMerge w:val="restart"/>
            <w:tcBorders>
              <w:top w:val="single" w:sz="4" w:space="0" w:color="000000"/>
              <w:left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泰州市科技支撑</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（社会发展）项目</w:t>
            </w:r>
          </w:p>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43</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王燕</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医药与化学化工学院</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中国HIV-1流行重组株的耐药关联分析平台的建立和耐药机制研究</w:t>
            </w:r>
          </w:p>
        </w:tc>
        <w:tc>
          <w:tcPr>
            <w:tcW w:w="2190" w:type="dxa"/>
            <w:vMerge/>
            <w:tcBorders>
              <w:left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44</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仲崇高</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计算机科学与技术学院</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基于安防的公共场所群聚异常行为检测与预警关键技术</w:t>
            </w:r>
          </w:p>
        </w:tc>
        <w:tc>
          <w:tcPr>
            <w:tcW w:w="2190" w:type="dxa"/>
            <w:vMerge/>
            <w:tcBorders>
              <w:left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45</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朱禹</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医药与化学化工学院</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多孔异质结光催化复合膜的制备及光降解性能研究</w:t>
            </w:r>
          </w:p>
        </w:tc>
        <w:tc>
          <w:tcPr>
            <w:tcW w:w="2190" w:type="dxa"/>
            <w:vMerge/>
            <w:tcBorders>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46</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朱军</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经济与管理学院</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泰州市高新技术企业培育模式研究及思考</w:t>
            </w:r>
          </w:p>
        </w:tc>
        <w:tc>
          <w:tcPr>
            <w:tcW w:w="219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泰州市软科学研究</w:t>
            </w:r>
          </w:p>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计划项目</w:t>
            </w:r>
          </w:p>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47</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唐宇</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经济与管理学院</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基于区域经济视角的泰州现代物流业发展策略研究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48</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潘勇</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外国语学院</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科技创新政策对地方高校科研管理的影响研究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49</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季恒</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美术学院</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新媒体时代泰州文创产业创新发展模式研究</w:t>
            </w:r>
          </w:p>
        </w:tc>
        <w:tc>
          <w:tcPr>
            <w:tcW w:w="2190" w:type="dxa"/>
            <w:vMerge/>
            <w:tcBorders>
              <w:left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jc w:val="center"/>
              <w:textAlignment w:val="center"/>
              <w:rPr>
                <w:rFonts w:ascii="宋体" w:eastAsia="宋体" w:hAnsi="宋体" w:cs="宋体"/>
                <w:color w:val="000000"/>
                <w:sz w:val="22"/>
                <w:szCs w:val="22"/>
              </w:rPr>
            </w:pPr>
          </w:p>
        </w:tc>
      </w:tr>
      <w:tr w:rsidR="003347DB" w:rsidTr="003D689E">
        <w:trPr>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50</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夏蓓</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经济与管理学院</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347DB" w:rsidRDefault="003347DB" w:rsidP="003D689E">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泰州市新型农业生产性服务体系建设研究</w:t>
            </w:r>
          </w:p>
        </w:tc>
        <w:tc>
          <w:tcPr>
            <w:tcW w:w="219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347DB" w:rsidRDefault="003347DB" w:rsidP="003D689E">
            <w:pPr>
              <w:widowControl/>
              <w:jc w:val="center"/>
              <w:textAlignment w:val="center"/>
              <w:rPr>
                <w:rFonts w:ascii="宋体" w:eastAsia="宋体" w:hAnsi="宋体" w:cs="宋体"/>
                <w:color w:val="000000"/>
                <w:sz w:val="22"/>
                <w:szCs w:val="22"/>
              </w:rPr>
            </w:pPr>
          </w:p>
        </w:tc>
      </w:tr>
    </w:tbl>
    <w:p w:rsidR="003347DB" w:rsidRDefault="003347DB" w:rsidP="003347DB">
      <w:pPr>
        <w:rPr>
          <w:rFonts w:ascii="宋体" w:eastAsia="宋体" w:hAnsi="宋体" w:cs="宋体"/>
        </w:rPr>
      </w:pPr>
    </w:p>
    <w:p w:rsidR="00EE4972" w:rsidRPr="003347DB" w:rsidRDefault="00EE4972">
      <w:bookmarkStart w:id="0" w:name="_GoBack"/>
      <w:bookmarkEnd w:id="0"/>
    </w:p>
    <w:sectPr w:rsidR="00EE4972" w:rsidRPr="003347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0B9" w:rsidRDefault="009820B9" w:rsidP="003347DB">
      <w:r>
        <w:separator/>
      </w:r>
    </w:p>
  </w:endnote>
  <w:endnote w:type="continuationSeparator" w:id="0">
    <w:p w:rsidR="009820B9" w:rsidRDefault="009820B9" w:rsidP="0033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0B9" w:rsidRDefault="009820B9" w:rsidP="003347DB">
      <w:r>
        <w:separator/>
      </w:r>
    </w:p>
  </w:footnote>
  <w:footnote w:type="continuationSeparator" w:id="0">
    <w:p w:rsidR="009820B9" w:rsidRDefault="009820B9" w:rsidP="00334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8B7"/>
    <w:rsid w:val="003347DB"/>
    <w:rsid w:val="009820B9"/>
    <w:rsid w:val="009D18B7"/>
    <w:rsid w:val="00EE4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187EF1-5984-4047-BDC6-DB9F2232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7D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47D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347DB"/>
    <w:rPr>
      <w:sz w:val="18"/>
      <w:szCs w:val="18"/>
    </w:rPr>
  </w:style>
  <w:style w:type="paragraph" w:styleId="a5">
    <w:name w:val="footer"/>
    <w:basedOn w:val="a"/>
    <w:link w:val="a6"/>
    <w:uiPriority w:val="99"/>
    <w:unhideWhenUsed/>
    <w:rsid w:val="003347DB"/>
    <w:pPr>
      <w:tabs>
        <w:tab w:val="center" w:pos="4153"/>
        <w:tab w:val="right" w:pos="8306"/>
      </w:tabs>
      <w:snapToGrid w:val="0"/>
      <w:jc w:val="left"/>
    </w:pPr>
    <w:rPr>
      <w:sz w:val="18"/>
      <w:szCs w:val="18"/>
    </w:rPr>
  </w:style>
  <w:style w:type="character" w:customStyle="1" w:styleId="a6">
    <w:name w:val="页脚 字符"/>
    <w:basedOn w:val="a0"/>
    <w:link w:val="a5"/>
    <w:uiPriority w:val="99"/>
    <w:rsid w:val="003347DB"/>
    <w:rPr>
      <w:sz w:val="18"/>
      <w:szCs w:val="18"/>
    </w:rPr>
  </w:style>
  <w:style w:type="character" w:customStyle="1" w:styleId="font11">
    <w:name w:val="font11"/>
    <w:basedOn w:val="a0"/>
    <w:rsid w:val="003347DB"/>
    <w:rPr>
      <w:rFonts w:ascii="Calibri" w:hAnsi="Calibri" w:cs="Calibri"/>
      <w:color w:val="000000"/>
      <w:sz w:val="21"/>
      <w:szCs w:val="21"/>
      <w:u w:val="none"/>
    </w:rPr>
  </w:style>
  <w:style w:type="character" w:customStyle="1" w:styleId="font31">
    <w:name w:val="font31"/>
    <w:basedOn w:val="a0"/>
    <w:rsid w:val="003347DB"/>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312</Words>
  <Characters>1784</Characters>
  <Application>Microsoft Office Word</Application>
  <DocSecurity>0</DocSecurity>
  <Lines>14</Lines>
  <Paragraphs>4</Paragraphs>
  <ScaleCrop>false</ScaleCrop>
  <Company>微软中国</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2019-11-01T09:28:00Z</dcterms:created>
  <dcterms:modified xsi:type="dcterms:W3CDTF">2019-11-01T09:29:00Z</dcterms:modified>
</cp:coreProperties>
</file>